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9A50" w14:textId="77777777" w:rsidR="00D159A5" w:rsidRPr="00C84F1E" w:rsidRDefault="00D159A5">
      <w:pPr>
        <w:rPr>
          <w:rFonts w:asciiTheme="minorHAnsi" w:hAnsiTheme="minorHAnsi"/>
          <w:b/>
          <w:sz w:val="24"/>
        </w:rPr>
      </w:pPr>
      <w:r w:rsidRPr="00C84F1E">
        <w:rPr>
          <w:rFonts w:asciiTheme="minorHAnsi" w:hAnsiTheme="minorHAnsi"/>
          <w:b/>
          <w:sz w:val="24"/>
        </w:rPr>
        <w:t>1. Determining eligibility</w:t>
      </w:r>
      <w:bookmarkStart w:id="0" w:name="_GoBack"/>
      <w:bookmarkEnd w:id="0"/>
    </w:p>
    <w:p w14:paraId="2AD9C2D5" w14:textId="77777777" w:rsidR="00D159A5" w:rsidRPr="00C84F1E" w:rsidRDefault="00D159A5" w:rsidP="00D159A5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C84F1E">
        <w:rPr>
          <w:rFonts w:asciiTheme="minorHAnsi" w:hAnsiTheme="minorHAnsi"/>
          <w:b/>
          <w:color w:val="000000" w:themeColor="text1"/>
          <w:sz w:val="24"/>
          <w:szCs w:val="24"/>
        </w:rPr>
        <w:t>Is the practice to be implemented on the 2019 Maple RCPP practice list?</w:t>
      </w:r>
      <w:r w:rsidRPr="00C84F1E">
        <w:rPr>
          <w:rFonts w:asciiTheme="minorHAnsi" w:hAnsiTheme="minorHAnsi"/>
          <w:color w:val="000000" w:themeColor="text1"/>
          <w:sz w:val="24"/>
          <w:szCs w:val="24"/>
        </w:rPr>
        <w:br/>
        <w:t>If NO, ineligible. Recommend regular EQIP.</w:t>
      </w:r>
    </w:p>
    <w:p w14:paraId="7F144210" w14:textId="77777777" w:rsidR="00D8799D" w:rsidRPr="00C84F1E" w:rsidRDefault="00D8799D" w:rsidP="00D8799D">
      <w:pPr>
        <w:pStyle w:val="ListParagraph"/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14:paraId="4737541A" w14:textId="77777777" w:rsidR="00D159A5" w:rsidRPr="00C84F1E" w:rsidRDefault="00D159A5" w:rsidP="00D159A5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C84F1E">
        <w:rPr>
          <w:rFonts w:asciiTheme="minorHAnsi" w:hAnsiTheme="minorHAnsi"/>
          <w:b/>
          <w:color w:val="000000" w:themeColor="text1"/>
          <w:sz w:val="24"/>
          <w:szCs w:val="24"/>
        </w:rPr>
        <w:t>Is the practice to be implemented on a field that is at least 50% in the Maple Watershed?</w:t>
      </w:r>
      <w:r w:rsidRPr="00C84F1E">
        <w:rPr>
          <w:rFonts w:asciiTheme="minorHAnsi" w:hAnsiTheme="minorHAnsi"/>
          <w:color w:val="000000" w:themeColor="text1"/>
          <w:sz w:val="24"/>
          <w:szCs w:val="24"/>
        </w:rPr>
        <w:br/>
        <w:t>If NO, ineligible</w:t>
      </w:r>
      <w:r w:rsidRPr="00C84F1E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. Recommend regular EQIP.</w:t>
      </w:r>
    </w:p>
    <w:p w14:paraId="30A23FB0" w14:textId="77777777" w:rsidR="00D159A5" w:rsidRPr="00C84F1E" w:rsidRDefault="00D159A5" w:rsidP="00D159A5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5B721F66" w14:textId="5F3335E6" w:rsidR="00D159A5" w:rsidRPr="00C84F1E" w:rsidRDefault="1659E342" w:rsidP="1659E342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1659E34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2. </w:t>
      </w:r>
      <w:r w:rsidR="00982E6D">
        <w:rPr>
          <w:rFonts w:asciiTheme="minorHAnsi" w:hAnsiTheme="minorHAnsi"/>
          <w:b/>
          <w:bCs/>
          <w:color w:val="000000" w:themeColor="text1"/>
          <w:sz w:val="24"/>
          <w:szCs w:val="24"/>
        </w:rPr>
        <w:t>M</w:t>
      </w:r>
      <w:r w:rsidRPr="1659E342">
        <w:rPr>
          <w:rFonts w:asciiTheme="minorHAnsi" w:hAnsiTheme="minorHAnsi"/>
          <w:b/>
          <w:bCs/>
          <w:color w:val="000000" w:themeColor="text1"/>
          <w:sz w:val="24"/>
          <w:szCs w:val="24"/>
        </w:rPr>
        <w:t>odel</w:t>
      </w:r>
      <w:r w:rsidR="00982E6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ing </w:t>
      </w:r>
      <w:r w:rsidRPr="1659E342">
        <w:rPr>
          <w:rFonts w:asciiTheme="minorHAnsi" w:hAnsiTheme="minorHAnsi"/>
          <w:b/>
          <w:bCs/>
          <w:color w:val="000000" w:themeColor="text1"/>
          <w:sz w:val="24"/>
          <w:szCs w:val="24"/>
        </w:rPr>
        <w:t>impacts</w:t>
      </w:r>
      <w:r w:rsidR="00982E6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for applications</w:t>
      </w:r>
    </w:p>
    <w:p w14:paraId="442B6B70" w14:textId="4C2A25F8" w:rsidR="00D8799D" w:rsidRPr="00C84F1E" w:rsidRDefault="00D8799D" w:rsidP="00D159A5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C84F1E">
        <w:rPr>
          <w:rFonts w:asciiTheme="minorHAnsi" w:hAnsiTheme="minorHAnsi"/>
          <w:color w:val="000000" w:themeColor="text1"/>
          <w:sz w:val="24"/>
          <w:szCs w:val="24"/>
        </w:rPr>
        <w:t xml:space="preserve">Technicians will </w:t>
      </w:r>
      <w:r w:rsidR="00815CA1">
        <w:rPr>
          <w:rFonts w:asciiTheme="minorHAnsi" w:hAnsiTheme="minorHAnsi"/>
          <w:color w:val="000000" w:themeColor="text1"/>
          <w:sz w:val="24"/>
          <w:szCs w:val="24"/>
        </w:rPr>
        <w:t>run the models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 xml:space="preserve"> within the Great Lakes Watershed Management System (GLWMS)</w:t>
      </w:r>
      <w:r w:rsidR="00815CA1">
        <w:rPr>
          <w:rFonts w:asciiTheme="minorHAnsi" w:hAnsiTheme="minorHAnsi"/>
          <w:color w:val="000000" w:themeColor="text1"/>
          <w:sz w:val="24"/>
          <w:szCs w:val="24"/>
        </w:rPr>
        <w:t xml:space="preserve"> on a field-by-field basis and generate a report that provides </w:t>
      </w:r>
      <w:r w:rsidR="00527B5A">
        <w:rPr>
          <w:rFonts w:asciiTheme="minorHAnsi" w:hAnsiTheme="minorHAnsi"/>
          <w:color w:val="000000" w:themeColor="text1"/>
          <w:sz w:val="24"/>
          <w:szCs w:val="24"/>
        </w:rPr>
        <w:t>individual field score</w:t>
      </w:r>
      <w:r w:rsidR="00815CA1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527B5A">
        <w:rPr>
          <w:rFonts w:asciiTheme="minorHAnsi" w:hAnsiTheme="minorHAnsi"/>
          <w:color w:val="000000" w:themeColor="text1"/>
          <w:sz w:val="24"/>
          <w:szCs w:val="24"/>
        </w:rPr>
        <w:t xml:space="preserve"> and a</w:t>
      </w:r>
      <w:r w:rsidR="00916EAD">
        <w:rPr>
          <w:rFonts w:asciiTheme="minorHAnsi" w:hAnsiTheme="minorHAnsi"/>
          <w:color w:val="000000" w:themeColor="text1"/>
          <w:sz w:val="24"/>
          <w:szCs w:val="24"/>
        </w:rPr>
        <w:t xml:space="preserve"> cumulative score for all fields included in the application.</w:t>
      </w:r>
      <w:r w:rsidR="00815C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>The</w:t>
      </w:r>
      <w:r w:rsidR="007B5C08" w:rsidRPr="00C84F1E">
        <w:rPr>
          <w:rFonts w:asciiTheme="minorHAnsi" w:hAnsiTheme="minorHAnsi"/>
          <w:color w:val="000000" w:themeColor="text1"/>
          <w:sz w:val="24"/>
          <w:szCs w:val="24"/>
        </w:rPr>
        <w:t xml:space="preserve"> information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 xml:space="preserve"> in the table below</w:t>
      </w:r>
      <w:r w:rsidR="007B5C08" w:rsidRPr="00C84F1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>is</w:t>
      </w:r>
      <w:r w:rsidR="007B5C08" w:rsidRPr="00C84F1E">
        <w:rPr>
          <w:rFonts w:asciiTheme="minorHAnsi" w:hAnsiTheme="minorHAnsi"/>
          <w:color w:val="000000" w:themeColor="text1"/>
          <w:sz w:val="24"/>
          <w:szCs w:val="24"/>
        </w:rPr>
        <w:t xml:space="preserve"> integrated into the 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>GLWMS</w:t>
      </w:r>
      <w:r w:rsidR="007B5C08" w:rsidRPr="00C84F1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 xml:space="preserve">analysis and </w:t>
      </w:r>
      <w:r w:rsidR="007B5C08" w:rsidRPr="00C84F1E">
        <w:rPr>
          <w:rFonts w:asciiTheme="minorHAnsi" w:hAnsiTheme="minorHAnsi"/>
          <w:color w:val="000000" w:themeColor="text1"/>
          <w:sz w:val="24"/>
          <w:szCs w:val="24"/>
        </w:rPr>
        <w:t>report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>ing features</w:t>
      </w:r>
      <w:r w:rsidR="007B5C08" w:rsidRPr="00C84F1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7B5C0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15CA1">
        <w:rPr>
          <w:rFonts w:asciiTheme="minorHAnsi" w:hAnsiTheme="minorHAnsi"/>
          <w:color w:val="000000" w:themeColor="text1"/>
          <w:sz w:val="24"/>
          <w:szCs w:val="24"/>
        </w:rPr>
        <w:t xml:space="preserve">The GLWMS has map layers for stream types and available water remaining in the State’s Accounting Database for reference; the system will make these determinations automatically and include them in the score.  </w:t>
      </w:r>
    </w:p>
    <w:p w14:paraId="50C58A4B" w14:textId="77777777" w:rsidR="00D8799D" w:rsidRPr="00C84F1E" w:rsidRDefault="00D8799D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805" w:type="dxa"/>
        <w:jc w:val="center"/>
        <w:tblLook w:val="04A0" w:firstRow="1" w:lastRow="0" w:firstColumn="1" w:lastColumn="0" w:noHBand="0" w:noVBand="1"/>
      </w:tblPr>
      <w:tblGrid>
        <w:gridCol w:w="5569"/>
        <w:gridCol w:w="4317"/>
        <w:gridCol w:w="919"/>
      </w:tblGrid>
      <w:tr w:rsidR="00B2063E" w:rsidRPr="00C84F1E" w14:paraId="2C92CD16" w14:textId="77777777" w:rsidTr="00E828D4">
        <w:trPr>
          <w:jc w:val="center"/>
        </w:trPr>
        <w:tc>
          <w:tcPr>
            <w:tcW w:w="5569" w:type="dxa"/>
          </w:tcPr>
          <w:p w14:paraId="45573A95" w14:textId="77777777" w:rsidR="00B2063E" w:rsidRPr="00C84F1E" w:rsidRDefault="00B2063E" w:rsidP="00D8799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4317" w:type="dxa"/>
          </w:tcPr>
          <w:p w14:paraId="3E6F5014" w14:textId="77777777" w:rsidR="00B2063E" w:rsidRPr="00C84F1E" w:rsidRDefault="00B2063E" w:rsidP="00D8799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F5FE2F6" w14:textId="77777777" w:rsidR="00B2063E" w:rsidRPr="00C84F1E" w:rsidRDefault="00B2063E" w:rsidP="00D8799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B2063E" w:rsidRPr="00C84F1E" w14:paraId="62EF28AC" w14:textId="77777777" w:rsidTr="00E828D4">
        <w:trPr>
          <w:jc w:val="center"/>
        </w:trPr>
        <w:tc>
          <w:tcPr>
            <w:tcW w:w="5569" w:type="dxa"/>
            <w:vMerge w:val="restart"/>
            <w:shd w:val="clear" w:color="auto" w:fill="D9D9D9" w:themeFill="background1" w:themeFillShade="D9"/>
          </w:tcPr>
          <w:p w14:paraId="16D2970B" w14:textId="77777777" w:rsidR="00B2063E" w:rsidRPr="00C84F1E" w:rsidRDefault="00B2063E" w:rsidP="00916EA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Is </w:t>
            </w:r>
            <w:r w:rsidR="00916E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over 50% of the application</w:t>
            </w:r>
            <w:r w:rsidRPr="00C84F1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located in a stressed WWAT water management unit according to the State’s Water Accounting Table?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27F93081" w14:textId="77777777" w:rsidR="00B2063E" w:rsidRPr="00C84F1E" w:rsidRDefault="00B2063E" w:rsidP="00D8799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sz w:val="24"/>
                <w:szCs w:val="24"/>
              </w:rPr>
              <w:t>0 gallons/minute remaining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1DC67E7C" w14:textId="77777777" w:rsidR="00B2063E" w:rsidRPr="00C84F1E" w:rsidRDefault="00B2063E" w:rsidP="00D8799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2063E" w:rsidRPr="00C84F1E" w14:paraId="415CAFE0" w14:textId="77777777" w:rsidTr="00E828D4">
        <w:trPr>
          <w:jc w:val="center"/>
        </w:trPr>
        <w:tc>
          <w:tcPr>
            <w:tcW w:w="5569" w:type="dxa"/>
            <w:vMerge/>
            <w:shd w:val="clear" w:color="auto" w:fill="D9D9D9" w:themeFill="background1" w:themeFillShade="D9"/>
          </w:tcPr>
          <w:p w14:paraId="0BF82F38" w14:textId="77777777" w:rsidR="00B2063E" w:rsidRPr="00C84F1E" w:rsidRDefault="00B2063E" w:rsidP="00D8799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14:paraId="4B383DED" w14:textId="77777777" w:rsidR="00B2063E" w:rsidRPr="00C84F1E" w:rsidRDefault="00B2063E" w:rsidP="00D8799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sz w:val="24"/>
                <w:szCs w:val="24"/>
              </w:rPr>
              <w:t>Less than 111 gallons/minute but greater than 0 gallons/minute remaining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47AC8AFC" w14:textId="77777777" w:rsidR="00B2063E" w:rsidRPr="00C84F1E" w:rsidRDefault="00B2063E" w:rsidP="00D8799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2063E" w:rsidRPr="00C84F1E" w14:paraId="4A667690" w14:textId="77777777" w:rsidTr="00E828D4">
        <w:trPr>
          <w:jc w:val="center"/>
        </w:trPr>
        <w:tc>
          <w:tcPr>
            <w:tcW w:w="9886" w:type="dxa"/>
            <w:gridSpan w:val="2"/>
          </w:tcPr>
          <w:p w14:paraId="1BD40569" w14:textId="77777777" w:rsidR="00B2063E" w:rsidRPr="00C84F1E" w:rsidRDefault="00B2063E" w:rsidP="00916EA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sz w:val="24"/>
                <w:szCs w:val="24"/>
              </w:rPr>
              <w:t xml:space="preserve">Is </w:t>
            </w:r>
            <w:r w:rsidR="00916EAD">
              <w:rPr>
                <w:rFonts w:asciiTheme="minorHAnsi" w:hAnsiTheme="minorHAnsi"/>
                <w:sz w:val="24"/>
                <w:szCs w:val="24"/>
              </w:rPr>
              <w:t>over 50% of the application</w:t>
            </w:r>
            <w:r w:rsidRPr="00C84F1E">
              <w:rPr>
                <w:rFonts w:asciiTheme="minorHAnsi" w:hAnsiTheme="minorHAnsi"/>
                <w:sz w:val="24"/>
                <w:szCs w:val="24"/>
              </w:rPr>
              <w:t xml:space="preserve"> located within a WWAT water management unit with cold, cold-transitional or cool stream?</w:t>
            </w:r>
          </w:p>
        </w:tc>
        <w:tc>
          <w:tcPr>
            <w:tcW w:w="919" w:type="dxa"/>
          </w:tcPr>
          <w:p w14:paraId="2FE0493D" w14:textId="77777777" w:rsidR="00B2063E" w:rsidRPr="00C84F1E" w:rsidRDefault="00B2063E" w:rsidP="00D8799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063E" w:rsidRPr="00C84F1E" w14:paraId="306E9A72" w14:textId="77777777" w:rsidTr="00E828D4">
        <w:trPr>
          <w:jc w:val="center"/>
        </w:trPr>
        <w:tc>
          <w:tcPr>
            <w:tcW w:w="5569" w:type="dxa"/>
            <w:vMerge w:val="restart"/>
            <w:shd w:val="clear" w:color="auto" w:fill="D9D9D9" w:themeFill="background1" w:themeFillShade="D9"/>
            <w:vAlign w:val="center"/>
          </w:tcPr>
          <w:p w14:paraId="57DF3E24" w14:textId="77777777" w:rsidR="00B2063E" w:rsidRPr="00C84F1E" w:rsidRDefault="00B2063E" w:rsidP="00916EAD">
            <w:pPr>
              <w:rPr>
                <w:rFonts w:asciiTheme="minorHAnsi" w:hAnsiTheme="minorHAnsi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sz w:val="24"/>
                <w:szCs w:val="24"/>
              </w:rPr>
              <w:t xml:space="preserve">Will implementing selected practices </w:t>
            </w:r>
            <w:r w:rsidR="00916EAD">
              <w:rPr>
                <w:rFonts w:asciiTheme="minorHAnsi" w:hAnsiTheme="minorHAnsi"/>
                <w:sz w:val="24"/>
                <w:szCs w:val="24"/>
              </w:rPr>
              <w:t>within this application</w:t>
            </w:r>
            <w:r w:rsidRPr="00C84F1E">
              <w:rPr>
                <w:rFonts w:asciiTheme="minorHAnsi" w:hAnsiTheme="minorHAnsi"/>
                <w:sz w:val="24"/>
                <w:szCs w:val="24"/>
              </w:rPr>
              <w:t xml:space="preserve"> result in a significant increase of groundwater recharge? Select the appropriate </w:t>
            </w:r>
            <w:r w:rsidR="00916EAD"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C84F1E">
              <w:rPr>
                <w:rFonts w:asciiTheme="minorHAnsi" w:hAnsiTheme="minorHAnsi"/>
                <w:sz w:val="24"/>
                <w:szCs w:val="24"/>
              </w:rPr>
              <w:t xml:space="preserve">rate. </w:t>
            </w: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2A5FBE07" w14:textId="050203C8" w:rsidR="00B2063E" w:rsidRPr="00C84F1E" w:rsidRDefault="00B2063E" w:rsidP="004E5E46">
            <w:pPr>
              <w:rPr>
                <w:rFonts w:asciiTheme="minorHAnsi" w:hAnsiTheme="minorHAnsi"/>
                <w:sz w:val="24"/>
                <w:szCs w:val="24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-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1,000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 xml:space="preserve"> gal/acre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3609C8F1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</w:t>
            </w:r>
          </w:p>
        </w:tc>
      </w:tr>
      <w:tr w:rsidR="00B2063E" w:rsidRPr="00C84F1E" w14:paraId="75CE2522" w14:textId="77777777" w:rsidTr="00E828D4">
        <w:trPr>
          <w:jc w:val="center"/>
        </w:trPr>
        <w:tc>
          <w:tcPr>
            <w:tcW w:w="5569" w:type="dxa"/>
            <w:vMerge/>
            <w:shd w:val="clear" w:color="auto" w:fill="D9D9D9" w:themeFill="background1" w:themeFillShade="D9"/>
            <w:vAlign w:val="center"/>
          </w:tcPr>
          <w:p w14:paraId="1E27D98A" w14:textId="77777777" w:rsidR="00B2063E" w:rsidRPr="00C84F1E" w:rsidRDefault="00B2063E" w:rsidP="00B2063E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79D1399A" w14:textId="2DDAAC80" w:rsidR="00B2063E" w:rsidRPr="00C84F1E" w:rsidRDefault="00B2063E" w:rsidP="00815CA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 xml:space="preserve">1,001 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>- 1,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500 gal/acre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6A9BCB2B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50</w:t>
            </w:r>
          </w:p>
        </w:tc>
      </w:tr>
      <w:tr w:rsidR="00B2063E" w:rsidRPr="00C84F1E" w14:paraId="61B8B1A4" w14:textId="77777777" w:rsidTr="00E828D4">
        <w:trPr>
          <w:jc w:val="center"/>
        </w:trPr>
        <w:tc>
          <w:tcPr>
            <w:tcW w:w="5569" w:type="dxa"/>
            <w:vMerge/>
            <w:shd w:val="clear" w:color="auto" w:fill="D9D9D9" w:themeFill="background1" w:themeFillShade="D9"/>
          </w:tcPr>
          <w:p w14:paraId="00737481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684922BF" w14:textId="2439F609" w:rsidR="00B2063E" w:rsidRPr="00C84F1E" w:rsidRDefault="004E5E46" w:rsidP="00815CA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lang w:bidi="ar-SA"/>
              </w:rPr>
              <w:t>1,</w:t>
            </w:r>
            <w:r w:rsidR="00B2063E" w:rsidRPr="00C84F1E">
              <w:rPr>
                <w:rFonts w:asciiTheme="minorHAnsi" w:hAnsiTheme="minorHAnsi" w:cs="Calibri"/>
                <w:color w:val="000000"/>
                <w:lang w:bidi="ar-SA"/>
              </w:rPr>
              <w:t xml:space="preserve">501 </w:t>
            </w:r>
            <w:r>
              <w:rPr>
                <w:rFonts w:asciiTheme="minorHAnsi" w:hAnsiTheme="minorHAnsi" w:cs="Calibri"/>
                <w:color w:val="000000"/>
                <w:lang w:bidi="ar-SA"/>
              </w:rPr>
              <w:t>- 2,000</w:t>
            </w:r>
            <w:r w:rsidR="00B2063E" w:rsidRPr="00C84F1E">
              <w:rPr>
                <w:rFonts w:asciiTheme="minorHAnsi" w:hAnsiTheme="minorHAnsi" w:cs="Calibri"/>
                <w:color w:val="000000"/>
                <w:lang w:bidi="ar-SA"/>
              </w:rPr>
              <w:t xml:space="preserve"> gal/acre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58C6E7D5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110</w:t>
            </w:r>
          </w:p>
        </w:tc>
      </w:tr>
      <w:tr w:rsidR="00B2063E" w:rsidRPr="00C84F1E" w14:paraId="17F2B06E" w14:textId="77777777" w:rsidTr="00E828D4">
        <w:trPr>
          <w:jc w:val="center"/>
        </w:trPr>
        <w:tc>
          <w:tcPr>
            <w:tcW w:w="5569" w:type="dxa"/>
            <w:vMerge/>
            <w:shd w:val="clear" w:color="auto" w:fill="D9D9D9" w:themeFill="background1" w:themeFillShade="D9"/>
          </w:tcPr>
          <w:p w14:paraId="0583C390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2AF21CC4" w14:textId="49144ED2" w:rsidR="00B2063E" w:rsidRPr="00C84F1E" w:rsidRDefault="004E5E46" w:rsidP="00815CA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lang w:bidi="ar-SA"/>
              </w:rPr>
              <w:t>2,001</w:t>
            </w:r>
            <w:r w:rsidR="00B2063E" w:rsidRPr="00C84F1E">
              <w:rPr>
                <w:rFonts w:asciiTheme="minorHAnsi" w:hAnsiTheme="minorHAnsi" w:cs="Calibri"/>
                <w:color w:val="000000"/>
                <w:lang w:bidi="ar-SA"/>
              </w:rPr>
              <w:t xml:space="preserve"> - 4,000 gal/acre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2546608C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160</w:t>
            </w:r>
          </w:p>
        </w:tc>
      </w:tr>
      <w:tr w:rsidR="00B2063E" w:rsidRPr="00C84F1E" w14:paraId="123DE5CE" w14:textId="77777777" w:rsidTr="00E828D4">
        <w:trPr>
          <w:jc w:val="center"/>
        </w:trPr>
        <w:tc>
          <w:tcPr>
            <w:tcW w:w="5569" w:type="dxa"/>
            <w:vMerge/>
            <w:shd w:val="clear" w:color="auto" w:fill="D9D9D9" w:themeFill="background1" w:themeFillShade="D9"/>
          </w:tcPr>
          <w:p w14:paraId="54673012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15AC00A7" w14:textId="7ECEF9DA" w:rsidR="00B2063E" w:rsidRPr="00C84F1E" w:rsidRDefault="00B2063E" w:rsidP="00815CA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4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>,001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 xml:space="preserve"> - 6,000 gal/acre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2A1BF8B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210</w:t>
            </w:r>
          </w:p>
        </w:tc>
      </w:tr>
      <w:tr w:rsidR="00B2063E" w:rsidRPr="00C84F1E" w14:paraId="172522D4" w14:textId="77777777" w:rsidTr="00E828D4">
        <w:trPr>
          <w:jc w:val="center"/>
        </w:trPr>
        <w:tc>
          <w:tcPr>
            <w:tcW w:w="5569" w:type="dxa"/>
            <w:vMerge/>
            <w:shd w:val="clear" w:color="auto" w:fill="D9D9D9" w:themeFill="background1" w:themeFillShade="D9"/>
          </w:tcPr>
          <w:p w14:paraId="6BA5CD0D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14:paraId="52B86BED" w14:textId="68564D85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&gt; 6,000 gal/acre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81134D9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250</w:t>
            </w:r>
          </w:p>
        </w:tc>
      </w:tr>
      <w:tr w:rsidR="00B2063E" w:rsidRPr="00C84F1E" w14:paraId="4E0D654C" w14:textId="77777777" w:rsidTr="00E828D4">
        <w:trPr>
          <w:jc w:val="center"/>
        </w:trPr>
        <w:tc>
          <w:tcPr>
            <w:tcW w:w="5569" w:type="dxa"/>
            <w:vMerge w:val="restart"/>
            <w:vAlign w:val="center"/>
          </w:tcPr>
          <w:p w14:paraId="06B5E920" w14:textId="77777777" w:rsidR="00B2063E" w:rsidRPr="00C84F1E" w:rsidRDefault="00B2063E" w:rsidP="00916EA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84F1E">
              <w:rPr>
                <w:rFonts w:asciiTheme="minorHAnsi" w:hAnsiTheme="minorHAnsi"/>
                <w:sz w:val="24"/>
                <w:szCs w:val="24"/>
              </w:rPr>
              <w:t xml:space="preserve">Will implementing selected practices </w:t>
            </w:r>
            <w:r w:rsidR="00916EAD">
              <w:rPr>
                <w:rFonts w:asciiTheme="minorHAnsi" w:hAnsiTheme="minorHAnsi"/>
                <w:sz w:val="24"/>
                <w:szCs w:val="24"/>
              </w:rPr>
              <w:t>within this application</w:t>
            </w:r>
            <w:r w:rsidRPr="00C84F1E">
              <w:rPr>
                <w:rFonts w:asciiTheme="minorHAnsi" w:hAnsiTheme="minorHAnsi"/>
                <w:sz w:val="24"/>
                <w:szCs w:val="24"/>
              </w:rPr>
              <w:t xml:space="preserve"> result in a significant decrease in sediment? Select the appropriate</w:t>
            </w:r>
            <w:r w:rsidR="00916EAD">
              <w:rPr>
                <w:rFonts w:asciiTheme="minorHAnsi" w:hAnsiTheme="minorHAnsi"/>
                <w:sz w:val="24"/>
                <w:szCs w:val="24"/>
              </w:rPr>
              <w:t xml:space="preserve"> average</w:t>
            </w:r>
            <w:r w:rsidRPr="00C84F1E">
              <w:rPr>
                <w:rFonts w:asciiTheme="minorHAnsi" w:hAnsiTheme="minorHAnsi"/>
                <w:sz w:val="24"/>
                <w:szCs w:val="24"/>
              </w:rPr>
              <w:t xml:space="preserve"> rate.</w:t>
            </w:r>
          </w:p>
        </w:tc>
        <w:tc>
          <w:tcPr>
            <w:tcW w:w="4317" w:type="dxa"/>
            <w:vAlign w:val="center"/>
          </w:tcPr>
          <w:p w14:paraId="0BBD1664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-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0.1 tons/ acre</w:t>
            </w:r>
          </w:p>
        </w:tc>
        <w:tc>
          <w:tcPr>
            <w:tcW w:w="919" w:type="dxa"/>
          </w:tcPr>
          <w:p w14:paraId="7010C2C8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</w:t>
            </w:r>
          </w:p>
        </w:tc>
      </w:tr>
      <w:tr w:rsidR="00B2063E" w:rsidRPr="00C84F1E" w14:paraId="02EBB2AB" w14:textId="77777777" w:rsidTr="00E828D4">
        <w:trPr>
          <w:jc w:val="center"/>
        </w:trPr>
        <w:tc>
          <w:tcPr>
            <w:tcW w:w="5569" w:type="dxa"/>
            <w:vMerge/>
          </w:tcPr>
          <w:p w14:paraId="72F3EB26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12910925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0.11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-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0.2 tons/acre</w:t>
            </w:r>
          </w:p>
        </w:tc>
        <w:tc>
          <w:tcPr>
            <w:tcW w:w="919" w:type="dxa"/>
          </w:tcPr>
          <w:p w14:paraId="61187920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20</w:t>
            </w:r>
          </w:p>
        </w:tc>
      </w:tr>
      <w:tr w:rsidR="00B2063E" w:rsidRPr="00C84F1E" w14:paraId="60957F55" w14:textId="77777777" w:rsidTr="00E828D4">
        <w:trPr>
          <w:jc w:val="center"/>
        </w:trPr>
        <w:tc>
          <w:tcPr>
            <w:tcW w:w="5569" w:type="dxa"/>
            <w:vMerge/>
          </w:tcPr>
          <w:p w14:paraId="27320F22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467B49FE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0.21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-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0.3 tons/acre</w:t>
            </w:r>
          </w:p>
        </w:tc>
        <w:tc>
          <w:tcPr>
            <w:tcW w:w="919" w:type="dxa"/>
          </w:tcPr>
          <w:p w14:paraId="02D2806D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40</w:t>
            </w:r>
          </w:p>
        </w:tc>
      </w:tr>
      <w:tr w:rsidR="00B2063E" w:rsidRPr="00C84F1E" w14:paraId="79337AAC" w14:textId="77777777" w:rsidTr="00E828D4">
        <w:trPr>
          <w:jc w:val="center"/>
        </w:trPr>
        <w:tc>
          <w:tcPr>
            <w:tcW w:w="5569" w:type="dxa"/>
            <w:vMerge/>
          </w:tcPr>
          <w:p w14:paraId="6242C063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35DB8502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0.31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-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0.4 tons/acre</w:t>
            </w:r>
          </w:p>
        </w:tc>
        <w:tc>
          <w:tcPr>
            <w:tcW w:w="919" w:type="dxa"/>
          </w:tcPr>
          <w:p w14:paraId="418A7EE9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60</w:t>
            </w:r>
          </w:p>
        </w:tc>
      </w:tr>
      <w:tr w:rsidR="00B2063E" w:rsidRPr="00C84F1E" w14:paraId="755528F6" w14:textId="77777777" w:rsidTr="00E828D4">
        <w:trPr>
          <w:jc w:val="center"/>
        </w:trPr>
        <w:tc>
          <w:tcPr>
            <w:tcW w:w="5569" w:type="dxa"/>
            <w:vMerge/>
          </w:tcPr>
          <w:p w14:paraId="46F60402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67048D60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0.41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-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0.5 tons/acre</w:t>
            </w:r>
          </w:p>
        </w:tc>
        <w:tc>
          <w:tcPr>
            <w:tcW w:w="919" w:type="dxa"/>
          </w:tcPr>
          <w:p w14:paraId="34B0951C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80</w:t>
            </w:r>
          </w:p>
        </w:tc>
      </w:tr>
      <w:tr w:rsidR="00B2063E" w:rsidRPr="00C84F1E" w14:paraId="33ECD539" w14:textId="77777777" w:rsidTr="00E828D4">
        <w:trPr>
          <w:jc w:val="center"/>
        </w:trPr>
        <w:tc>
          <w:tcPr>
            <w:tcW w:w="5569" w:type="dxa"/>
            <w:vMerge/>
          </w:tcPr>
          <w:p w14:paraId="5F1164BE" w14:textId="77777777" w:rsidR="00B2063E" w:rsidRPr="00C84F1E" w:rsidRDefault="00B2063E" w:rsidP="00B2063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3952C522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&gt;</w:t>
            </w:r>
            <w:r w:rsidR="004E5E46">
              <w:rPr>
                <w:rFonts w:asciiTheme="minorHAnsi" w:hAnsiTheme="minorHAnsi" w:cs="Calibri"/>
                <w:color w:val="000000"/>
                <w:lang w:bidi="ar-SA"/>
              </w:rPr>
              <w:t xml:space="preserve"> </w:t>
            </w: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0.5 tons/per acre</w:t>
            </w:r>
          </w:p>
        </w:tc>
        <w:tc>
          <w:tcPr>
            <w:tcW w:w="919" w:type="dxa"/>
          </w:tcPr>
          <w:p w14:paraId="376189B6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color w:val="000000"/>
                <w:lang w:bidi="ar-SA"/>
              </w:rPr>
              <w:t>100</w:t>
            </w:r>
          </w:p>
        </w:tc>
      </w:tr>
      <w:tr w:rsidR="00B2063E" w:rsidRPr="00C84F1E" w14:paraId="6A0251CD" w14:textId="77777777" w:rsidTr="00E828D4">
        <w:trPr>
          <w:jc w:val="center"/>
        </w:trPr>
        <w:tc>
          <w:tcPr>
            <w:tcW w:w="9886" w:type="dxa"/>
            <w:gridSpan w:val="2"/>
          </w:tcPr>
          <w:p w14:paraId="1FBCB7D6" w14:textId="77777777" w:rsidR="00B2063E" w:rsidRPr="00C84F1E" w:rsidRDefault="00B2063E" w:rsidP="00B2063E">
            <w:pPr>
              <w:rPr>
                <w:rFonts w:asciiTheme="minorHAnsi" w:hAnsiTheme="minorHAnsi" w:cs="Calibri"/>
                <w:color w:val="000000"/>
                <w:lang w:bidi="ar-SA"/>
              </w:rPr>
            </w:pPr>
            <w:r w:rsidRPr="00C84F1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Total points possible</w:t>
            </w:r>
          </w:p>
        </w:tc>
        <w:tc>
          <w:tcPr>
            <w:tcW w:w="919" w:type="dxa"/>
          </w:tcPr>
          <w:p w14:paraId="25E55533" w14:textId="77777777" w:rsidR="00B2063E" w:rsidRPr="00C84F1E" w:rsidRDefault="00B2063E" w:rsidP="00B2063E">
            <w:pPr>
              <w:rPr>
                <w:rFonts w:asciiTheme="minorHAnsi" w:hAnsiTheme="minorHAnsi" w:cs="Calibri"/>
                <w:b/>
                <w:color w:val="000000"/>
                <w:lang w:bidi="ar-SA"/>
              </w:rPr>
            </w:pPr>
            <w:r w:rsidRPr="00C84F1E">
              <w:rPr>
                <w:rFonts w:asciiTheme="minorHAnsi" w:hAnsiTheme="minorHAnsi" w:cs="Calibri"/>
                <w:b/>
                <w:color w:val="000000"/>
                <w:lang w:bidi="ar-SA"/>
              </w:rPr>
              <w:t>400</w:t>
            </w:r>
          </w:p>
        </w:tc>
      </w:tr>
    </w:tbl>
    <w:p w14:paraId="7609223A" w14:textId="77777777" w:rsidR="00916EAD" w:rsidRDefault="00916EAD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03FD3BC" w14:textId="7064A940" w:rsidR="00D8799D" w:rsidRPr="00C84F1E" w:rsidRDefault="00D8799D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84F1E">
        <w:rPr>
          <w:rFonts w:asciiTheme="minorHAnsi" w:hAnsiTheme="minorHAnsi"/>
          <w:b/>
          <w:color w:val="000000" w:themeColor="text1"/>
          <w:sz w:val="24"/>
          <w:szCs w:val="24"/>
        </w:rPr>
        <w:t xml:space="preserve">3. Identify final fields to be included in </w:t>
      </w:r>
      <w:r w:rsidR="00E828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the </w:t>
      </w:r>
      <w:r w:rsidRPr="00C84F1E">
        <w:rPr>
          <w:rFonts w:asciiTheme="minorHAnsi" w:hAnsiTheme="minorHAnsi"/>
          <w:b/>
          <w:color w:val="000000" w:themeColor="text1"/>
          <w:sz w:val="24"/>
          <w:szCs w:val="24"/>
        </w:rPr>
        <w:t>application</w:t>
      </w:r>
    </w:p>
    <w:p w14:paraId="5BAAB6A7" w14:textId="694063E6" w:rsidR="00D8799D" w:rsidRDefault="00527B5A" w:rsidP="00D159A5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Review the </w:t>
      </w:r>
      <w:r w:rsidR="00A22C73">
        <w:rPr>
          <w:rFonts w:asciiTheme="minorHAnsi" w:hAnsiTheme="minorHAnsi"/>
          <w:color w:val="000000" w:themeColor="text1"/>
          <w:sz w:val="24"/>
          <w:szCs w:val="24"/>
        </w:rPr>
        <w:t>cumulative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application </w:t>
      </w:r>
      <w:r w:rsidR="00B45499">
        <w:rPr>
          <w:rFonts w:asciiTheme="minorHAnsi" w:hAnsiTheme="minorHAnsi"/>
          <w:color w:val="000000" w:themeColor="text1"/>
          <w:sz w:val="24"/>
          <w:szCs w:val="24"/>
        </w:rPr>
        <w:t xml:space="preserve">score with the producer. </w:t>
      </w:r>
      <w:r w:rsidR="00166BA3">
        <w:rPr>
          <w:rFonts w:asciiTheme="minorHAnsi" w:hAnsiTheme="minorHAnsi"/>
          <w:color w:val="000000" w:themeColor="text1"/>
          <w:sz w:val="24"/>
          <w:szCs w:val="24"/>
        </w:rPr>
        <w:t xml:space="preserve">If the </w:t>
      </w:r>
      <w:r w:rsidR="00E828D4">
        <w:rPr>
          <w:rFonts w:asciiTheme="minorHAnsi" w:hAnsiTheme="minorHAnsi"/>
          <w:color w:val="000000" w:themeColor="text1"/>
          <w:sz w:val="24"/>
          <w:szCs w:val="24"/>
        </w:rPr>
        <w:t xml:space="preserve">cumulative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score </w:t>
      </w:r>
      <w:r w:rsidR="00E828D4">
        <w:rPr>
          <w:rFonts w:asciiTheme="minorHAnsi" w:hAnsiTheme="minorHAnsi"/>
          <w:color w:val="000000" w:themeColor="text1"/>
          <w:sz w:val="24"/>
          <w:szCs w:val="24"/>
        </w:rPr>
        <w:t>in the GLWMS report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is relatively low, review the individual field scores to see if some fields are affecting the overall competitiveness of the application. </w:t>
      </w:r>
      <w:r w:rsidR="00B45499">
        <w:rPr>
          <w:rFonts w:asciiTheme="minorHAnsi" w:hAnsiTheme="minorHAnsi"/>
          <w:color w:val="000000" w:themeColor="text1"/>
          <w:sz w:val="24"/>
          <w:szCs w:val="24"/>
        </w:rPr>
        <w:t xml:space="preserve">Talk with the producer and determine if any fields will be removed from the application. If any changes are made, generate </w:t>
      </w:r>
      <w:r w:rsidR="00AA028D" w:rsidRPr="00C84F1E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45499">
        <w:rPr>
          <w:rFonts w:asciiTheme="minorHAnsi" w:hAnsiTheme="minorHAnsi"/>
          <w:color w:val="000000" w:themeColor="text1"/>
          <w:sz w:val="24"/>
          <w:szCs w:val="24"/>
        </w:rPr>
        <w:t xml:space="preserve">nother report </w:t>
      </w:r>
      <w:r w:rsidR="00E828D4">
        <w:rPr>
          <w:rFonts w:asciiTheme="minorHAnsi" w:hAnsiTheme="minorHAnsi"/>
          <w:color w:val="000000" w:themeColor="text1"/>
          <w:sz w:val="24"/>
          <w:szCs w:val="24"/>
        </w:rPr>
        <w:t xml:space="preserve">reflecting those changes </w:t>
      </w:r>
      <w:r w:rsidR="00B45499">
        <w:rPr>
          <w:rFonts w:asciiTheme="minorHAnsi" w:hAnsiTheme="minorHAnsi"/>
          <w:color w:val="000000" w:themeColor="text1"/>
          <w:sz w:val="24"/>
          <w:szCs w:val="24"/>
        </w:rPr>
        <w:t xml:space="preserve">and submit that with the application. </w:t>
      </w:r>
    </w:p>
    <w:p w14:paraId="66456F81" w14:textId="77777777" w:rsidR="00A22C73" w:rsidRDefault="00A22C73" w:rsidP="00D159A5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56F12240" w14:textId="541F3149" w:rsidR="00E828D4" w:rsidRDefault="00E828D4" w:rsidP="00D159A5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15FE450F" w14:textId="1DD445CA" w:rsidR="00A22C73" w:rsidRPr="00A22C73" w:rsidRDefault="00A22C73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22C73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 xml:space="preserve">4. Application </w:t>
      </w:r>
      <w:r w:rsidR="00AB47B7">
        <w:rPr>
          <w:rFonts w:asciiTheme="minorHAnsi" w:hAnsiTheme="minorHAnsi"/>
          <w:b/>
          <w:color w:val="000000" w:themeColor="text1"/>
          <w:sz w:val="24"/>
          <w:szCs w:val="24"/>
        </w:rPr>
        <w:t>screening</w:t>
      </w:r>
      <w:r w:rsidRPr="00A22C7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and scoring </w:t>
      </w:r>
    </w:p>
    <w:p w14:paraId="286F8BA4" w14:textId="77777777" w:rsidR="00DF0382" w:rsidRDefault="00DF0382" w:rsidP="00D159A5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5319A1EC" w14:textId="78F6AA86" w:rsidR="00DF0382" w:rsidRDefault="00DF0382" w:rsidP="00D159A5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Conservation Activity Plan (CAP) applications cannot be evaluated in GLWMS and will automatically be assigned high priority.  </w:t>
      </w:r>
    </w:p>
    <w:p w14:paraId="6BB310C4" w14:textId="77777777" w:rsidR="00DF0382" w:rsidRDefault="00DF0382" w:rsidP="00D159A5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37E708F0" w14:textId="77777777" w:rsidR="00DF0382" w:rsidRDefault="00DF0382" w:rsidP="00D159A5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All other a</w:t>
      </w:r>
      <w:r w:rsidR="00AB47B7">
        <w:rPr>
          <w:rFonts w:asciiTheme="minorHAnsi" w:hAnsiTheme="minorHAnsi"/>
          <w:color w:val="000000" w:themeColor="text1"/>
          <w:sz w:val="24"/>
          <w:szCs w:val="24"/>
        </w:rPr>
        <w:t>pplications will be screened based on their ability to increase groundwater recharge. Applications that increase groundwater recharge will be considered h</w:t>
      </w:r>
      <w:r w:rsidR="00E828D4">
        <w:rPr>
          <w:rFonts w:asciiTheme="minorHAnsi" w:hAnsiTheme="minorHAnsi"/>
          <w:color w:val="000000" w:themeColor="text1"/>
          <w:sz w:val="24"/>
          <w:szCs w:val="24"/>
        </w:rPr>
        <w:t xml:space="preserve">igh priority, while </w:t>
      </w:r>
      <w:r w:rsidR="00AB47B7">
        <w:rPr>
          <w:rFonts w:asciiTheme="minorHAnsi" w:hAnsiTheme="minorHAnsi"/>
          <w:color w:val="000000" w:themeColor="text1"/>
          <w:sz w:val="24"/>
          <w:szCs w:val="24"/>
        </w:rPr>
        <w:t xml:space="preserve">applications that are modeled to have no increase in groundwater recharge will be considered </w:t>
      </w:r>
      <w:r w:rsidR="00E828D4">
        <w:rPr>
          <w:rFonts w:asciiTheme="minorHAnsi" w:hAnsiTheme="minorHAnsi"/>
          <w:color w:val="000000" w:themeColor="text1"/>
          <w:sz w:val="24"/>
          <w:szCs w:val="24"/>
        </w:rPr>
        <w:t>low priority</w:t>
      </w:r>
      <w:r w:rsidR="00AB47B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A6AA4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14:paraId="295F04BB" w14:textId="77777777" w:rsidR="00DF0382" w:rsidRDefault="00DF0382" w:rsidP="00D159A5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4BB28FB7" w14:textId="354EC16B" w:rsidR="00E828D4" w:rsidRDefault="00EA6AA4" w:rsidP="00D159A5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Low priority applications will not be ranked at this time.</w:t>
      </w:r>
    </w:p>
    <w:p w14:paraId="3F2DF91D" w14:textId="77777777" w:rsidR="00D8799D" w:rsidRPr="00C84F1E" w:rsidRDefault="00D8799D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1BA9C35" w14:textId="6A32AE86" w:rsidR="00B2063E" w:rsidRPr="00C84F1E" w:rsidRDefault="00A22C73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Local scoring questions used in EQIP ranking</w:t>
      </w:r>
    </w:p>
    <w:p w14:paraId="4F0792D1" w14:textId="77777777" w:rsidR="00B2063E" w:rsidRPr="00C84F1E" w:rsidRDefault="00B2063E" w:rsidP="00D159A5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074"/>
        <w:gridCol w:w="3101"/>
      </w:tblGrid>
      <w:tr w:rsidR="00AA028D" w:rsidRPr="00C84F1E" w14:paraId="43713A2B" w14:textId="77777777" w:rsidTr="00DF0382">
        <w:tc>
          <w:tcPr>
            <w:tcW w:w="6249" w:type="dxa"/>
            <w:gridSpan w:val="2"/>
          </w:tcPr>
          <w:p w14:paraId="7098358A" w14:textId="77777777" w:rsidR="00AA028D" w:rsidRPr="00E828D4" w:rsidRDefault="00AA028D" w:rsidP="00D159A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b/>
                <w:color w:val="000000" w:themeColor="text1"/>
                <w:sz w:val="24"/>
              </w:rPr>
              <w:t>Issue Questions</w:t>
            </w:r>
          </w:p>
        </w:tc>
        <w:tc>
          <w:tcPr>
            <w:tcW w:w="3101" w:type="dxa"/>
          </w:tcPr>
          <w:p w14:paraId="1A4AD244" w14:textId="77777777" w:rsidR="00AA028D" w:rsidRPr="00E828D4" w:rsidRDefault="00AA028D" w:rsidP="00D159A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b/>
                <w:color w:val="000000" w:themeColor="text1"/>
                <w:sz w:val="24"/>
              </w:rPr>
              <w:t>Points</w:t>
            </w:r>
          </w:p>
        </w:tc>
      </w:tr>
      <w:tr w:rsidR="00DF0382" w:rsidRPr="00C84F1E" w14:paraId="0A961F4C" w14:textId="77777777" w:rsidTr="006A55FC">
        <w:trPr>
          <w:trHeight w:val="1202"/>
        </w:trPr>
        <w:tc>
          <w:tcPr>
            <w:tcW w:w="3175" w:type="dxa"/>
            <w:vMerge w:val="restart"/>
          </w:tcPr>
          <w:p w14:paraId="69D157B0" w14:textId="5F2ED18C" w:rsidR="00DF0382" w:rsidRPr="00E828D4" w:rsidRDefault="00DF0382" w:rsidP="00AA028D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DF0382">
              <w:rPr>
                <w:rFonts w:asciiTheme="minorHAnsi" w:hAnsiTheme="minorHAnsi"/>
                <w:sz w:val="24"/>
              </w:rPr>
              <w:t>Is the program application to support the development of a CAP? If answer is “Yes,” do not answer the following question. If answer is “No,” proceed with evaluation to address the following question.</w:t>
            </w:r>
          </w:p>
        </w:tc>
        <w:tc>
          <w:tcPr>
            <w:tcW w:w="3074" w:type="dxa"/>
            <w:vAlign w:val="center"/>
          </w:tcPr>
          <w:p w14:paraId="1F1DF380" w14:textId="7C4DD489" w:rsidR="00DF0382" w:rsidRPr="00DF0382" w:rsidRDefault="00DF0382" w:rsidP="00AA028D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 w:rsidRPr="00DF0382">
              <w:rPr>
                <w:rFonts w:asciiTheme="minorHAnsi" w:hAnsiTheme="minorHAnsi"/>
                <w:color w:val="000000" w:themeColor="text1"/>
                <w:sz w:val="24"/>
              </w:rPr>
              <w:t>Yes</w:t>
            </w:r>
          </w:p>
        </w:tc>
        <w:tc>
          <w:tcPr>
            <w:tcW w:w="3101" w:type="dxa"/>
            <w:vAlign w:val="center"/>
          </w:tcPr>
          <w:p w14:paraId="1ECCEE07" w14:textId="77777777" w:rsidR="00DF0382" w:rsidRDefault="00DF0382" w:rsidP="00AA028D">
            <w:pPr>
              <w:rPr>
                <w:rFonts w:asciiTheme="minorHAnsi" w:hAnsiTheme="minorHAnsi"/>
                <w:sz w:val="24"/>
              </w:rPr>
            </w:pPr>
          </w:p>
          <w:p w14:paraId="1B2DE59B" w14:textId="096C678B" w:rsidR="00DF0382" w:rsidRPr="00E828D4" w:rsidRDefault="00DF0382" w:rsidP="00AA028D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250</w:t>
            </w:r>
          </w:p>
          <w:p w14:paraId="5B1332F1" w14:textId="76FAAA83" w:rsidR="00DF0382" w:rsidRPr="00E828D4" w:rsidRDefault="00DF0382" w:rsidP="00AA028D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</w:tc>
      </w:tr>
      <w:tr w:rsidR="00AA028D" w:rsidRPr="00C84F1E" w14:paraId="27BF3EF6" w14:textId="77777777" w:rsidTr="00DF0382">
        <w:tc>
          <w:tcPr>
            <w:tcW w:w="3175" w:type="dxa"/>
            <w:vMerge/>
          </w:tcPr>
          <w:p w14:paraId="2AB303FA" w14:textId="77777777" w:rsidR="00AA028D" w:rsidRPr="00E828D4" w:rsidRDefault="00AA028D" w:rsidP="00AA028D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3074" w:type="dxa"/>
            <w:vAlign w:val="center"/>
          </w:tcPr>
          <w:p w14:paraId="30AC4E09" w14:textId="52166109" w:rsidR="00AA028D" w:rsidRPr="00E828D4" w:rsidRDefault="00DF0382" w:rsidP="00AA028D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</w:p>
        </w:tc>
        <w:tc>
          <w:tcPr>
            <w:tcW w:w="3101" w:type="dxa"/>
            <w:vAlign w:val="center"/>
          </w:tcPr>
          <w:p w14:paraId="5D3A7C4B" w14:textId="77777777" w:rsidR="00AA028D" w:rsidRPr="00E828D4" w:rsidRDefault="00AA028D" w:rsidP="00AA028D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0</w:t>
            </w:r>
          </w:p>
        </w:tc>
      </w:tr>
      <w:tr w:rsidR="00DF0382" w:rsidRPr="00E828D4" w14:paraId="66C778D6" w14:textId="77777777" w:rsidTr="00DF0382">
        <w:tc>
          <w:tcPr>
            <w:tcW w:w="3175" w:type="dxa"/>
            <w:vMerge w:val="restart"/>
          </w:tcPr>
          <w:p w14:paraId="690BCE7C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How many points did this project score using the Maple River RCPP Scoring Rubric? Choose one of the following based on the score included in the GLWMS Report.</w:t>
            </w:r>
          </w:p>
        </w:tc>
        <w:tc>
          <w:tcPr>
            <w:tcW w:w="3074" w:type="dxa"/>
          </w:tcPr>
          <w:p w14:paraId="04FD63E9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250 or more</w:t>
            </w:r>
          </w:p>
        </w:tc>
        <w:tc>
          <w:tcPr>
            <w:tcW w:w="3101" w:type="dxa"/>
          </w:tcPr>
          <w:p w14:paraId="07EE9499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250</w:t>
            </w:r>
          </w:p>
        </w:tc>
      </w:tr>
      <w:tr w:rsidR="00DF0382" w:rsidRPr="00E828D4" w14:paraId="2A04F25C" w14:textId="77777777" w:rsidTr="00DF0382">
        <w:tc>
          <w:tcPr>
            <w:tcW w:w="3175" w:type="dxa"/>
            <w:vMerge/>
          </w:tcPr>
          <w:p w14:paraId="0D739FFC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3074" w:type="dxa"/>
          </w:tcPr>
          <w:p w14:paraId="27CD2BCA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175-249</w:t>
            </w:r>
          </w:p>
        </w:tc>
        <w:tc>
          <w:tcPr>
            <w:tcW w:w="3101" w:type="dxa"/>
          </w:tcPr>
          <w:p w14:paraId="0515A26D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150</w:t>
            </w:r>
          </w:p>
        </w:tc>
      </w:tr>
      <w:tr w:rsidR="00DF0382" w:rsidRPr="00E828D4" w14:paraId="61B9F57C" w14:textId="77777777" w:rsidTr="00DF0382">
        <w:tc>
          <w:tcPr>
            <w:tcW w:w="3175" w:type="dxa"/>
            <w:vMerge/>
          </w:tcPr>
          <w:p w14:paraId="1AD28732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3074" w:type="dxa"/>
          </w:tcPr>
          <w:p w14:paraId="19993F7D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100-174</w:t>
            </w:r>
          </w:p>
        </w:tc>
        <w:tc>
          <w:tcPr>
            <w:tcW w:w="3101" w:type="dxa"/>
          </w:tcPr>
          <w:p w14:paraId="27256C56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75</w:t>
            </w:r>
          </w:p>
        </w:tc>
      </w:tr>
      <w:tr w:rsidR="00DF0382" w:rsidRPr="00E828D4" w14:paraId="2357BA22" w14:textId="77777777" w:rsidTr="00DF0382">
        <w:tc>
          <w:tcPr>
            <w:tcW w:w="3175" w:type="dxa"/>
            <w:vMerge/>
          </w:tcPr>
          <w:p w14:paraId="360B7282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3074" w:type="dxa"/>
          </w:tcPr>
          <w:p w14:paraId="7034C49C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50-99</w:t>
            </w:r>
          </w:p>
        </w:tc>
        <w:tc>
          <w:tcPr>
            <w:tcW w:w="3101" w:type="dxa"/>
          </w:tcPr>
          <w:p w14:paraId="33677747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50</w:t>
            </w:r>
          </w:p>
        </w:tc>
      </w:tr>
      <w:tr w:rsidR="00DF0382" w:rsidRPr="00E828D4" w14:paraId="600EEC34" w14:textId="77777777" w:rsidTr="00DF0382">
        <w:tc>
          <w:tcPr>
            <w:tcW w:w="3175" w:type="dxa"/>
            <w:vMerge/>
          </w:tcPr>
          <w:p w14:paraId="778C6DEF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3074" w:type="dxa"/>
          </w:tcPr>
          <w:p w14:paraId="616263E1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0-49</w:t>
            </w:r>
          </w:p>
        </w:tc>
        <w:tc>
          <w:tcPr>
            <w:tcW w:w="3101" w:type="dxa"/>
          </w:tcPr>
          <w:p w14:paraId="169EAAE6" w14:textId="77777777" w:rsidR="00DF0382" w:rsidRPr="00E828D4" w:rsidRDefault="00DF0382" w:rsidP="00CD23AF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E828D4">
              <w:rPr>
                <w:rFonts w:asciiTheme="minorHAnsi" w:hAnsiTheme="minorHAnsi"/>
                <w:sz w:val="24"/>
              </w:rPr>
              <w:t>0</w:t>
            </w:r>
          </w:p>
        </w:tc>
      </w:tr>
    </w:tbl>
    <w:p w14:paraId="6EDF248D" w14:textId="77777777" w:rsidR="00B2063E" w:rsidRDefault="00B2063E" w:rsidP="00D159A5">
      <w:pPr>
        <w:rPr>
          <w:b/>
          <w:color w:val="000000" w:themeColor="text1"/>
          <w:sz w:val="24"/>
          <w:szCs w:val="24"/>
        </w:rPr>
      </w:pPr>
    </w:p>
    <w:p w14:paraId="018A367A" w14:textId="77777777" w:rsidR="001907D4" w:rsidRDefault="001907D4" w:rsidP="00D159A5">
      <w:pPr>
        <w:rPr>
          <w:b/>
          <w:color w:val="000000" w:themeColor="text1"/>
          <w:sz w:val="24"/>
          <w:szCs w:val="24"/>
        </w:rPr>
      </w:pPr>
    </w:p>
    <w:p w14:paraId="2E58A689" w14:textId="77777777" w:rsidR="001907D4" w:rsidRDefault="001907D4" w:rsidP="00D159A5">
      <w:pPr>
        <w:rPr>
          <w:b/>
          <w:color w:val="000000" w:themeColor="text1"/>
          <w:sz w:val="24"/>
          <w:szCs w:val="24"/>
        </w:rPr>
      </w:pPr>
    </w:p>
    <w:p w14:paraId="19F9A2CD" w14:textId="77777777" w:rsidR="001907D4" w:rsidRDefault="001907D4" w:rsidP="00D159A5">
      <w:pPr>
        <w:rPr>
          <w:b/>
          <w:color w:val="000000" w:themeColor="text1"/>
          <w:sz w:val="24"/>
          <w:szCs w:val="24"/>
        </w:rPr>
      </w:pPr>
    </w:p>
    <w:p w14:paraId="18E746F6" w14:textId="77777777" w:rsidR="001907D4" w:rsidRDefault="001907D4" w:rsidP="00D159A5">
      <w:pPr>
        <w:rPr>
          <w:b/>
          <w:color w:val="000000" w:themeColor="text1"/>
          <w:sz w:val="24"/>
          <w:szCs w:val="24"/>
        </w:rPr>
      </w:pPr>
    </w:p>
    <w:sectPr w:rsidR="001907D4" w:rsidSect="005E525D">
      <w:headerReference w:type="default" r:id="rId7"/>
      <w:footerReference w:type="default" r:id="rId8"/>
      <w:pgSz w:w="12240" w:h="15840" w:code="1"/>
      <w:pgMar w:top="1440" w:right="1440" w:bottom="1440" w:left="1440" w:header="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F1AE" w14:textId="77777777" w:rsidR="00F16BD6" w:rsidRDefault="00F16BD6">
      <w:r>
        <w:separator/>
      </w:r>
    </w:p>
  </w:endnote>
  <w:endnote w:type="continuationSeparator" w:id="0">
    <w:p w14:paraId="657E7A04" w14:textId="77777777" w:rsidR="00F16BD6" w:rsidRDefault="00F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18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64AE" w14:textId="4DEE6E35" w:rsidR="00EA20A3" w:rsidRDefault="00EA2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D8331" w14:textId="6D32C181" w:rsidR="009915AC" w:rsidRDefault="009915AC">
    <w:pPr>
      <w:pStyle w:val="BodyText"/>
      <w:spacing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BCC4" w14:textId="77777777" w:rsidR="00F16BD6" w:rsidRDefault="00F16BD6">
      <w:r>
        <w:separator/>
      </w:r>
    </w:p>
  </w:footnote>
  <w:footnote w:type="continuationSeparator" w:id="0">
    <w:p w14:paraId="60B4C590" w14:textId="77777777" w:rsidR="00F16BD6" w:rsidRDefault="00F1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96DC" w14:textId="77777777" w:rsidR="001A2D45" w:rsidRDefault="001A2D45" w:rsidP="001A2D45">
    <w:pPr>
      <w:rPr>
        <w:rFonts w:asciiTheme="minorHAnsi" w:hAnsiTheme="minorHAnsi"/>
        <w:b/>
        <w:sz w:val="24"/>
      </w:rPr>
    </w:pPr>
  </w:p>
  <w:p w14:paraId="14DD499F" w14:textId="77777777" w:rsidR="001A2D45" w:rsidRDefault="001A2D45" w:rsidP="001A2D45">
    <w:pPr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Improving Stream Habitat in the Maple River Watershed</w:t>
    </w:r>
  </w:p>
  <w:p w14:paraId="116821EE" w14:textId="4B22DD92" w:rsidR="009915AC" w:rsidRPr="001A2D45" w:rsidRDefault="001A2D45" w:rsidP="001A2D45">
    <w:pPr>
      <w:pStyle w:val="Header"/>
    </w:pPr>
    <w:r w:rsidRPr="00A22C73">
      <w:rPr>
        <w:rFonts w:asciiTheme="minorHAnsi" w:hAnsiTheme="minorHAnsi" w:cstheme="minorHAnsi"/>
      </w:rPr>
      <w:t xml:space="preserve">Maple River RCPP </w:t>
    </w:r>
    <w:r>
      <w:rPr>
        <w:rFonts w:asciiTheme="minorHAnsi" w:hAnsiTheme="minorHAnsi" w:cstheme="minorHAnsi"/>
      </w:rPr>
      <w:t>2019 - Eligibility, Screening and EQIP Scoring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09E"/>
    <w:multiLevelType w:val="hybridMultilevel"/>
    <w:tmpl w:val="B186DC64"/>
    <w:lvl w:ilvl="0" w:tplc="8326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C6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E6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6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49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E9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C8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61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01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53C"/>
    <w:multiLevelType w:val="hybridMultilevel"/>
    <w:tmpl w:val="5A1435D4"/>
    <w:lvl w:ilvl="0" w:tplc="79CE6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89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E8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2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29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22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6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CA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E8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1BD5"/>
    <w:multiLevelType w:val="hybridMultilevel"/>
    <w:tmpl w:val="D9ECF0C8"/>
    <w:lvl w:ilvl="0" w:tplc="CE5896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F1F"/>
    <w:multiLevelType w:val="hybridMultilevel"/>
    <w:tmpl w:val="E8C8DE8A"/>
    <w:lvl w:ilvl="0" w:tplc="CE5896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7662B"/>
    <w:multiLevelType w:val="hybridMultilevel"/>
    <w:tmpl w:val="7CC8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3810"/>
    <w:multiLevelType w:val="hybridMultilevel"/>
    <w:tmpl w:val="E4B6A820"/>
    <w:lvl w:ilvl="0" w:tplc="CE5896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494E"/>
    <w:multiLevelType w:val="hybridMultilevel"/>
    <w:tmpl w:val="DF3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10C3"/>
    <w:multiLevelType w:val="hybridMultilevel"/>
    <w:tmpl w:val="6F36EE56"/>
    <w:lvl w:ilvl="0" w:tplc="F0A48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45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4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F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C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E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C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E1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574C8"/>
    <w:multiLevelType w:val="hybridMultilevel"/>
    <w:tmpl w:val="F210F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7"/>
    <w:rsid w:val="000717D4"/>
    <w:rsid w:val="0008401F"/>
    <w:rsid w:val="000F0F9E"/>
    <w:rsid w:val="000F1761"/>
    <w:rsid w:val="001465E5"/>
    <w:rsid w:val="00166BA3"/>
    <w:rsid w:val="00167C34"/>
    <w:rsid w:val="001907D4"/>
    <w:rsid w:val="001A2D45"/>
    <w:rsid w:val="00233A76"/>
    <w:rsid w:val="002D2CCB"/>
    <w:rsid w:val="00322D96"/>
    <w:rsid w:val="003E6F35"/>
    <w:rsid w:val="00407696"/>
    <w:rsid w:val="00455A5D"/>
    <w:rsid w:val="004738CD"/>
    <w:rsid w:val="004E5E46"/>
    <w:rsid w:val="004F346F"/>
    <w:rsid w:val="005122AD"/>
    <w:rsid w:val="0052795B"/>
    <w:rsid w:val="00527B5A"/>
    <w:rsid w:val="00554EB3"/>
    <w:rsid w:val="00597861"/>
    <w:rsid w:val="005C4306"/>
    <w:rsid w:val="005E525D"/>
    <w:rsid w:val="00653CA9"/>
    <w:rsid w:val="006B0D51"/>
    <w:rsid w:val="006E7789"/>
    <w:rsid w:val="00706B3E"/>
    <w:rsid w:val="007306F5"/>
    <w:rsid w:val="00767AEC"/>
    <w:rsid w:val="00784AFC"/>
    <w:rsid w:val="007A7FD5"/>
    <w:rsid w:val="007B5C08"/>
    <w:rsid w:val="007C5CEE"/>
    <w:rsid w:val="00815CA1"/>
    <w:rsid w:val="00843350"/>
    <w:rsid w:val="0084435C"/>
    <w:rsid w:val="00901C4F"/>
    <w:rsid w:val="00916EAD"/>
    <w:rsid w:val="00925ADA"/>
    <w:rsid w:val="009515E9"/>
    <w:rsid w:val="00973D1C"/>
    <w:rsid w:val="00982E6D"/>
    <w:rsid w:val="009915AC"/>
    <w:rsid w:val="00A22C73"/>
    <w:rsid w:val="00A45130"/>
    <w:rsid w:val="00A55C5F"/>
    <w:rsid w:val="00AA028D"/>
    <w:rsid w:val="00AB15B4"/>
    <w:rsid w:val="00AB47B7"/>
    <w:rsid w:val="00B12DAE"/>
    <w:rsid w:val="00B2063E"/>
    <w:rsid w:val="00B45499"/>
    <w:rsid w:val="00B7635F"/>
    <w:rsid w:val="00BA3E58"/>
    <w:rsid w:val="00C44C9B"/>
    <w:rsid w:val="00C44DBD"/>
    <w:rsid w:val="00C461EA"/>
    <w:rsid w:val="00C84F1E"/>
    <w:rsid w:val="00C97C6E"/>
    <w:rsid w:val="00D159A5"/>
    <w:rsid w:val="00D561E1"/>
    <w:rsid w:val="00D8178D"/>
    <w:rsid w:val="00D86B2E"/>
    <w:rsid w:val="00D8799D"/>
    <w:rsid w:val="00D92AB2"/>
    <w:rsid w:val="00D93D83"/>
    <w:rsid w:val="00D97A77"/>
    <w:rsid w:val="00DD040F"/>
    <w:rsid w:val="00DE1A54"/>
    <w:rsid w:val="00DF0382"/>
    <w:rsid w:val="00E76C02"/>
    <w:rsid w:val="00E828D4"/>
    <w:rsid w:val="00EA20A3"/>
    <w:rsid w:val="00EA6AA4"/>
    <w:rsid w:val="00EB7E24"/>
    <w:rsid w:val="00F024AA"/>
    <w:rsid w:val="00F16BD6"/>
    <w:rsid w:val="00FF5EA7"/>
    <w:rsid w:val="00FF66EC"/>
    <w:rsid w:val="06D95579"/>
    <w:rsid w:val="1659E342"/>
    <w:rsid w:val="2250ABAD"/>
    <w:rsid w:val="388A33DC"/>
    <w:rsid w:val="66AB55DA"/>
    <w:rsid w:val="702D8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58D4A"/>
  <w15:docId w15:val="{96EBB4EA-B0F9-4BE0-BF57-1866010F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AF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AFC"/>
    <w:pPr>
      <w:spacing w:line="262" w:lineRule="exact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84AFC"/>
  </w:style>
  <w:style w:type="paragraph" w:customStyle="1" w:styleId="TableParagraph">
    <w:name w:val="Table Paragraph"/>
    <w:basedOn w:val="Normal"/>
    <w:uiPriority w:val="1"/>
    <w:qFormat/>
    <w:rsid w:val="00784AFC"/>
    <w:pPr>
      <w:spacing w:line="273" w:lineRule="exact"/>
      <w:ind w:left="490"/>
    </w:pPr>
  </w:style>
  <w:style w:type="character" w:styleId="CommentReference">
    <w:name w:val="annotation reference"/>
    <w:basedOn w:val="DefaultParagraphFont"/>
    <w:uiPriority w:val="99"/>
    <w:semiHidden/>
    <w:unhideWhenUsed/>
    <w:rsid w:val="006E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78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78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89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8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28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0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28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creator>Otto, Becky - NRCS, East Lansing, MI</dc:creator>
  <cp:lastModifiedBy>Young, Laura</cp:lastModifiedBy>
  <cp:revision>3</cp:revision>
  <cp:lastPrinted>2019-04-05T01:24:00Z</cp:lastPrinted>
  <dcterms:created xsi:type="dcterms:W3CDTF">2019-04-15T21:25:00Z</dcterms:created>
  <dcterms:modified xsi:type="dcterms:W3CDTF">2019-04-15T21:25:00Z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2019-01-15T00:00:00Z</vt:filetime>
  </property>
</Properties>
</file>